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60" w:lineRule="exact"/>
        <w:jc w:val="distribute"/>
        <w:rPr>
          <w:rFonts w:ascii="方正小标宋简体" w:hAnsi="方正小标宋简体" w:eastAsia="方正小标宋简体" w:cs="方正小标宋简体"/>
          <w:color w:val="FF0000"/>
          <w:sz w:val="62"/>
          <w:szCs w:val="62"/>
        </w:rPr>
      </w:pPr>
    </w:p>
    <w:p>
      <w:pPr>
        <w:keepNext w:val="0"/>
        <w:keepLines w:val="0"/>
        <w:pageBreakBefore w:val="0"/>
        <w:widowControl w:val="0"/>
        <w:kinsoku/>
        <w:wordWrap/>
        <w:overflowPunct/>
        <w:topLinePunct w:val="0"/>
        <w:autoSpaceDE/>
        <w:autoSpaceDN/>
        <w:bidi w:val="0"/>
        <w:adjustRightInd/>
        <w:snapToGrid/>
        <w:spacing w:line="1200" w:lineRule="exact"/>
        <w:jc w:val="left"/>
        <w:textAlignment w:val="auto"/>
        <w:rPr>
          <w:rFonts w:hint="eastAsia" w:ascii="方正小标宋简体" w:hAnsi="方正小标宋简体" w:eastAsia="方正小标宋简体" w:cs="方正小标宋简体"/>
          <w:b w:val="0"/>
          <w:bCs w:val="0"/>
          <w:color w:val="FF0000"/>
          <w:spacing w:val="0"/>
          <w:w w:val="45"/>
          <w:sz w:val="110"/>
          <w:szCs w:val="110"/>
        </w:rPr>
      </w:pPr>
    </w:p>
    <w:p>
      <w:pPr>
        <w:keepNext w:val="0"/>
        <w:keepLines w:val="0"/>
        <w:pageBreakBefore w:val="0"/>
        <w:widowControl w:val="0"/>
        <w:kinsoku/>
        <w:wordWrap/>
        <w:overflowPunct/>
        <w:topLinePunct w:val="0"/>
        <w:autoSpaceDE/>
        <w:autoSpaceDN/>
        <w:bidi w:val="0"/>
        <w:adjustRightInd/>
        <w:snapToGrid/>
        <w:spacing w:line="1200" w:lineRule="exact"/>
        <w:jc w:val="left"/>
        <w:textAlignment w:val="auto"/>
        <w:rPr>
          <w:rFonts w:hint="eastAsia" w:ascii="方正小标宋简体" w:hAnsi="方正小标宋简体" w:eastAsia="方正小标宋简体" w:cs="方正小标宋简体"/>
          <w:b w:val="0"/>
          <w:bCs w:val="0"/>
          <w:color w:val="FF0000"/>
          <w:spacing w:val="0"/>
          <w:w w:val="45"/>
          <w:sz w:val="110"/>
          <w:szCs w:val="110"/>
        </w:rPr>
      </w:pPr>
    </w:p>
    <w:p>
      <w:pPr>
        <w:keepNext w:val="0"/>
        <w:keepLines w:val="0"/>
        <w:pageBreakBefore w:val="0"/>
        <w:widowControl w:val="0"/>
        <w:tabs>
          <w:tab w:val="left" w:pos="7621"/>
        </w:tabs>
        <w:kinsoku/>
        <w:wordWrap/>
        <w:overflowPunct/>
        <w:topLinePunct w:val="0"/>
        <w:autoSpaceDE/>
        <w:autoSpaceDN/>
        <w:bidi w:val="0"/>
        <w:adjustRightInd/>
        <w:snapToGrid/>
        <w:spacing w:line="400" w:lineRule="exact"/>
        <w:jc w:val="left"/>
        <w:textAlignment w:val="auto"/>
        <w:rPr>
          <w:rFonts w:hint="default" w:ascii="方正小标宋简体" w:hAnsi="方正小标宋简体" w:eastAsia="方正小标宋简体" w:cs="方正小标宋简体"/>
          <w:b w:val="0"/>
          <w:bCs w:val="0"/>
          <w:color w:val="FF0000"/>
          <w:spacing w:val="0"/>
          <w:w w:val="45"/>
          <w:sz w:val="110"/>
          <w:szCs w:val="110"/>
          <w:u w:val="thick"/>
          <w:lang w:val="en-US" w:eastAsia="zh-CN"/>
        </w:rPr>
      </w:pPr>
      <w:r>
        <w:rPr>
          <w:rFonts w:hint="eastAsia" w:ascii="方正小标宋简体" w:hAnsi="方正小标宋简体" w:eastAsia="方正小标宋简体" w:cs="方正小标宋简体"/>
          <w:b w:val="0"/>
          <w:bCs w:val="0"/>
          <w:color w:val="FF0000"/>
          <w:spacing w:val="0"/>
          <w:w w:val="45"/>
          <w:sz w:val="110"/>
          <w:szCs w:val="110"/>
          <w:lang w:eastAsia="zh-CN"/>
        </w:rPr>
        <w:tab/>
      </w:r>
    </w:p>
    <w:p>
      <w:pPr>
        <w:jc w:val="center"/>
        <w:rPr>
          <w:rFonts w:ascii="仿宋_GB2312" w:hAnsi="Times New Roman" w:eastAsia="仿宋_GB2312" w:cs="Times New Roman"/>
          <w:sz w:val="32"/>
          <w:szCs w:val="32"/>
        </w:rPr>
      </w:pPr>
      <w:bookmarkStart w:id="0" w:name="_GoBack"/>
      <w:r>
        <w:rPr>
          <w:rFonts w:hint="eastAsia" w:ascii="仿宋_GB2312" w:hAnsi="Times New Roman" w:eastAsia="仿宋_GB2312" w:cs="Times New Roman"/>
          <w:sz w:val="32"/>
          <w:szCs w:val="32"/>
        </w:rPr>
        <w:t>洪人社发〔202</w:t>
      </w:r>
      <w:r>
        <w:rPr>
          <w:rFonts w:hint="eastAsia" w:ascii="仿宋_GB2312" w:hAnsi="Times New Roman" w:eastAsia="仿宋_GB2312" w:cs="Times New Roman"/>
          <w:sz w:val="32"/>
          <w:szCs w:val="32"/>
          <w:lang w:val="en-US" w:eastAsia="zh-CN"/>
        </w:rPr>
        <w:t>2</w:t>
      </w:r>
      <w:r>
        <w:rPr>
          <w:rFonts w:hint="eastAsia" w:ascii="仿宋_GB2312" w:hAnsi="Times New Roman" w:eastAsia="仿宋_GB2312" w:cs="Times New Roman"/>
          <w:sz w:val="32"/>
          <w:szCs w:val="32"/>
        </w:rPr>
        <w:t>〕</w:t>
      </w:r>
      <w:r>
        <w:rPr>
          <w:rFonts w:hint="eastAsia" w:ascii="仿宋" w:hAnsi="仿宋" w:eastAsia="仿宋" w:cs="仿宋"/>
          <w:sz w:val="32"/>
          <w:szCs w:val="32"/>
          <w:lang w:val="en-US" w:eastAsia="zh-CN"/>
        </w:rPr>
        <w:t>112</w:t>
      </w:r>
      <w:r>
        <w:rPr>
          <w:rFonts w:hint="eastAsia" w:ascii="仿宋_GB2312" w:hAnsi="Times New Roman" w:eastAsia="仿宋_GB2312" w:cs="Times New Roman"/>
          <w:sz w:val="32"/>
          <w:szCs w:val="32"/>
        </w:rPr>
        <w:t>号</w:t>
      </w:r>
    </w:p>
    <w:bookmarkEnd w:id="0"/>
    <w:p>
      <w:pPr>
        <w:keepNext w:val="0"/>
        <w:keepLines w:val="0"/>
        <w:pageBreakBefore w:val="0"/>
        <w:widowControl w:val="0"/>
        <w:kinsoku/>
        <w:wordWrap/>
        <w:overflowPunct/>
        <w:topLinePunct w:val="0"/>
        <w:autoSpaceDE/>
        <w:autoSpaceDN/>
        <w:bidi w:val="0"/>
        <w:adjustRightInd/>
        <w:snapToGrid/>
        <w:spacing w:line="200" w:lineRule="exact"/>
        <w:jc w:val="left"/>
        <w:textAlignment w:val="auto"/>
        <w:rPr>
          <w:rFonts w:hint="eastAsia" w:ascii="方正小标宋简体" w:hAnsi="方正小标宋简体" w:eastAsia="方正小标宋简体" w:cs="方正小标宋简体"/>
          <w:b w:val="0"/>
          <w:bCs w:val="0"/>
          <w:color w:val="FF0000"/>
          <w:spacing w:val="0"/>
          <w:w w:val="45"/>
          <w:sz w:val="110"/>
          <w:szCs w:val="110"/>
        </w:rPr>
      </w:pPr>
    </w:p>
    <w:p>
      <w:pPr>
        <w:spacing w:line="600" w:lineRule="exact"/>
        <w:jc w:val="both"/>
        <w:rPr>
          <w:rFonts w:hint="eastAsia" w:ascii="方正小标宋简体" w:eastAsia="方正小标宋简体"/>
          <w:sz w:val="44"/>
          <w:szCs w:val="44"/>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pacing w:val="-20"/>
          <w:sz w:val="44"/>
          <w:szCs w:val="44"/>
        </w:rPr>
      </w:pPr>
      <w:r>
        <w:rPr>
          <w:rFonts w:hint="eastAsia" w:ascii="方正小标宋简体" w:hAnsi="方正小标宋简体" w:eastAsia="方正小标宋简体" w:cs="方正小标宋简体"/>
          <w:spacing w:val="-20"/>
          <w:sz w:val="44"/>
          <w:szCs w:val="44"/>
        </w:rPr>
        <w:t>南昌市人力资源和社会保障局 南昌市财政局</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关于印发应对疫情保主体促就业12条</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政策措施的通知</w:t>
      </w:r>
    </w:p>
    <w:p>
      <w:pPr>
        <w:spacing w:line="520" w:lineRule="exact"/>
        <w:jc w:val="center"/>
        <w:rPr>
          <w:rFonts w:hint="eastAsia" w:ascii="方正小标宋简体" w:hAnsi="方正小标宋简体" w:eastAsia="方正小标宋简体" w:cs="方正小标宋简体"/>
          <w:sz w:val="30"/>
          <w:szCs w:val="30"/>
        </w:rPr>
      </w:pPr>
    </w:p>
    <w:p>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vanish w:val="0"/>
          <w:color w:val="auto"/>
          <w:spacing w:val="0"/>
          <w:w w:val="100"/>
          <w:sz w:val="32"/>
          <w:szCs w:val="32"/>
          <w:u w:val="none"/>
          <w:lang w:val="en-US" w:eastAsia="zh-CN"/>
        </w:rPr>
      </w:pPr>
      <w:r>
        <w:rPr>
          <w:rFonts w:hint="eastAsia" w:ascii="仿宋_GB2312" w:hAnsi="仿宋_GB2312" w:eastAsia="仿宋_GB2312" w:cs="仿宋_GB2312"/>
          <w:vanish w:val="0"/>
          <w:color w:val="auto"/>
          <w:spacing w:val="0"/>
          <w:w w:val="100"/>
          <w:sz w:val="32"/>
          <w:szCs w:val="32"/>
          <w:u w:val="none"/>
          <w:lang w:val="en-US" w:eastAsia="zh-CN"/>
        </w:rPr>
        <w:t>各县区人民政府、开发区管委会、湾里管理局：</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vanish w:val="0"/>
          <w:color w:val="auto"/>
          <w:spacing w:val="0"/>
          <w:w w:val="100"/>
          <w:sz w:val="32"/>
          <w:szCs w:val="32"/>
          <w:u w:val="none"/>
          <w:lang w:val="en-US" w:eastAsia="zh-CN"/>
        </w:rPr>
      </w:pPr>
      <w:r>
        <w:rPr>
          <w:rFonts w:hint="eastAsia" w:ascii="仿宋_GB2312" w:hAnsi="仿宋_GB2312" w:eastAsia="仿宋_GB2312" w:cs="仿宋_GB2312"/>
          <w:vanish w:val="0"/>
          <w:color w:val="auto"/>
          <w:spacing w:val="0"/>
          <w:w w:val="100"/>
          <w:sz w:val="32"/>
          <w:szCs w:val="32"/>
          <w:u w:val="none"/>
          <w:lang w:val="en-US" w:eastAsia="zh-CN"/>
        </w:rPr>
        <w:t>为深入贯彻习近平总书记关于统筹做好疫情防控和经济社会发展的重要指示精神，全面落实中央、省、市有关决策部署，按照省人社厅、省财政厅《关于应对疫情保主体促就业10条政策措施的通知》（赣人社规〔2022〕1号），经报请市政府同意，现就南昌市帮助受疫情冲击较大的行业企业稳岗稳工，促进重点群体和困难群体就业创业相关政策措施通知如下：</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vanish w:val="0"/>
          <w:color w:val="auto"/>
          <w:spacing w:val="0"/>
          <w:w w:val="100"/>
          <w:sz w:val="32"/>
          <w:szCs w:val="32"/>
          <w:u w:val="none"/>
          <w:lang w:val="en-US" w:eastAsia="zh-CN"/>
        </w:rPr>
      </w:pPr>
      <w:r>
        <w:rPr>
          <w:rFonts w:hint="eastAsia" w:ascii="黑体" w:hAnsi="黑体" w:eastAsia="黑体" w:cs="黑体"/>
          <w:b w:val="0"/>
          <w:bCs w:val="0"/>
          <w:vanish w:val="0"/>
          <w:color w:val="auto"/>
          <w:spacing w:val="0"/>
          <w:w w:val="100"/>
          <w:sz w:val="32"/>
          <w:szCs w:val="32"/>
          <w:u w:val="none"/>
          <w:lang w:val="en-US" w:eastAsia="zh-CN"/>
        </w:rPr>
        <w:t xml:space="preserve"> 一、继续执行阶段性降低失业保险、工伤保险费率政策。</w:t>
      </w:r>
      <w:r>
        <w:rPr>
          <w:rFonts w:hint="eastAsia" w:ascii="仿宋_GB2312" w:hAnsi="仿宋_GB2312" w:eastAsia="仿宋_GB2312" w:cs="仿宋_GB2312"/>
          <w:vanish w:val="0"/>
          <w:color w:val="auto"/>
          <w:spacing w:val="0"/>
          <w:w w:val="100"/>
          <w:sz w:val="32"/>
          <w:szCs w:val="32"/>
          <w:u w:val="none"/>
          <w:lang w:val="en-US" w:eastAsia="zh-CN"/>
        </w:rPr>
        <w:t>失业保险费率继续按照1%（其中现行失业费率单位0.5%、个人0.5%）执行。现行一类至八类行业基础工伤费率分别为0.2%、0.4%、0.6%、0.8%、1%、1.2%、1.5%、1.8%，工伤保险行业费率继续按阶段性降低工伤保险费率的有关政策执行。建筑项目为单位新参加工伤保险以工程总造价0.1%缴纳工伤保险费用。上述工伤保险阶段性降低费率政策暂定延长执行至2023年4月30日。</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vanish w:val="0"/>
          <w:color w:val="auto"/>
          <w:spacing w:val="0"/>
          <w:w w:val="100"/>
          <w:sz w:val="32"/>
          <w:szCs w:val="32"/>
          <w:u w:val="none"/>
          <w:lang w:val="en-US" w:eastAsia="zh-CN"/>
        </w:rPr>
      </w:pPr>
      <w:r>
        <w:rPr>
          <w:rFonts w:hint="eastAsia" w:ascii="黑体" w:hAnsi="黑体" w:eastAsia="黑体" w:cs="黑体"/>
          <w:b w:val="0"/>
          <w:bCs w:val="0"/>
          <w:vanish w:val="0"/>
          <w:color w:val="auto"/>
          <w:spacing w:val="0"/>
          <w:w w:val="100"/>
          <w:sz w:val="32"/>
          <w:szCs w:val="32"/>
          <w:u w:val="none"/>
          <w:lang w:val="en-US" w:eastAsia="zh-CN"/>
        </w:rPr>
        <w:t>二、落实阶段性缓缴社会保险费政策。</w:t>
      </w:r>
      <w:r>
        <w:rPr>
          <w:rFonts w:hint="eastAsia" w:ascii="仿宋_GB2312" w:hAnsi="仿宋_GB2312" w:eastAsia="仿宋_GB2312" w:cs="仿宋_GB2312"/>
          <w:vanish w:val="0"/>
          <w:color w:val="auto"/>
          <w:spacing w:val="0"/>
          <w:w w:val="100"/>
          <w:sz w:val="32"/>
          <w:szCs w:val="32"/>
          <w:u w:val="none"/>
          <w:lang w:val="en-US" w:eastAsia="zh-CN"/>
        </w:rPr>
        <w:t>此次缓缴适用于餐饮、零售、旅游、民航、公路水路铁路运输五个特困行业养老、失业、工伤保险费的单位应缴纳部分。以个人身份参加企业职工基本养老保险的个体工商户和各类灵活就业人员，2022年缴纳费款有困难的，可自愿暂缓缴费至2023年底前补缴。企业职工基本养老保险费缓缴费款所属期为2022年4月至6月。失业保险费、工伤保险费缓缴费款所属期为2022年4月至2023年3月。缓缴期限内，职工申领养老保险待遇的、办理企业职工基本养老保险、失业保险停保或关系转移的，采用“缴一办一”方式办理。</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vanish w:val="0"/>
          <w:color w:val="auto"/>
          <w:spacing w:val="0"/>
          <w:w w:val="100"/>
          <w:sz w:val="32"/>
          <w:szCs w:val="32"/>
          <w:u w:val="none"/>
          <w:lang w:val="en-US" w:eastAsia="zh-CN"/>
        </w:rPr>
      </w:pPr>
      <w:r>
        <w:rPr>
          <w:rFonts w:hint="eastAsia" w:ascii="黑体" w:hAnsi="黑体" w:eastAsia="黑体" w:cs="黑体"/>
          <w:b w:val="0"/>
          <w:bCs w:val="0"/>
          <w:vanish w:val="0"/>
          <w:color w:val="auto"/>
          <w:spacing w:val="0"/>
          <w:w w:val="100"/>
          <w:sz w:val="32"/>
          <w:szCs w:val="32"/>
          <w:u w:val="none"/>
          <w:lang w:val="en-US" w:eastAsia="zh-CN"/>
        </w:rPr>
        <w:t>三、继续执行失业保险稳岗返还政策。</w:t>
      </w:r>
      <w:r>
        <w:rPr>
          <w:rFonts w:hint="eastAsia" w:ascii="仿宋_GB2312" w:hAnsi="仿宋_GB2312" w:eastAsia="仿宋_GB2312" w:cs="仿宋_GB2312"/>
          <w:vanish w:val="0"/>
          <w:color w:val="auto"/>
          <w:spacing w:val="0"/>
          <w:w w:val="100"/>
          <w:sz w:val="32"/>
          <w:szCs w:val="32"/>
          <w:u w:val="none"/>
          <w:lang w:val="en-US" w:eastAsia="zh-CN"/>
        </w:rPr>
        <w:t>参保企业上年度未裁员或裁员率不高于5.5%，30人（含）以下的参保企业裁员率不高于20%的，可以享受失业保险稳岗返还。大型企业按企业及其职工上年度实际缴纳失业保险费的30%返还，中小微企业按企业及其职工上年度实际缴纳失业保险费的90%返还，服务业市场主体可先行发放，大力推广“免申即享”、直达银行账户的精准发放模式，对没有对公账户的小微企业，可将资金直接返还至其缴纳社会保险费账户；对因系统内数据不全等原因无法实施免申即享的企业，自动转换为依申请补充完善信息后享受。所需资金从失业保险基金中列支。</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vanish w:val="0"/>
          <w:color w:val="auto"/>
          <w:spacing w:val="0"/>
          <w:w w:val="100"/>
          <w:sz w:val="32"/>
          <w:szCs w:val="32"/>
          <w:u w:val="none"/>
          <w:lang w:val="en-US" w:eastAsia="zh-CN"/>
        </w:rPr>
      </w:pPr>
      <w:r>
        <w:rPr>
          <w:rFonts w:hint="eastAsia" w:ascii="黑体" w:hAnsi="黑体" w:eastAsia="黑体" w:cs="黑体"/>
          <w:b w:val="0"/>
          <w:bCs w:val="0"/>
          <w:vanish w:val="0"/>
          <w:color w:val="auto"/>
          <w:spacing w:val="0"/>
          <w:w w:val="100"/>
          <w:sz w:val="32"/>
          <w:szCs w:val="32"/>
          <w:u w:val="none"/>
          <w:lang w:val="en-US" w:eastAsia="zh-CN"/>
        </w:rPr>
        <w:t>四、发放一次性留工培训补助。</w:t>
      </w:r>
      <w:r>
        <w:rPr>
          <w:rFonts w:hint="eastAsia" w:ascii="仿宋_GB2312" w:hAnsi="仿宋_GB2312" w:eastAsia="仿宋_GB2312" w:cs="仿宋_GB2312"/>
          <w:vanish w:val="0"/>
          <w:color w:val="auto"/>
          <w:spacing w:val="0"/>
          <w:w w:val="100"/>
          <w:sz w:val="32"/>
          <w:szCs w:val="32"/>
          <w:u w:val="none"/>
          <w:lang w:val="en-US" w:eastAsia="zh-CN"/>
        </w:rPr>
        <w:t> 出现1个（含）以上中高风险地区或县级以上人民政府（疫情防控指挥部）发布停工停产通知的县（市、区），对受疫情严重影响无法正常生产经营并组织职工以工作代替培训的中小微企业，可按每名失业保险参保职工500元的标准发放一次性留工培训补助，同一企业年度内只能享受一次，所需资金从失业保险基金中列支。</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vanish w:val="0"/>
          <w:color w:val="auto"/>
          <w:spacing w:val="0"/>
          <w:w w:val="100"/>
          <w:sz w:val="32"/>
          <w:szCs w:val="32"/>
          <w:u w:val="none"/>
          <w:lang w:val="en-US" w:eastAsia="zh-CN"/>
        </w:rPr>
      </w:pPr>
      <w:r>
        <w:rPr>
          <w:rFonts w:hint="eastAsia" w:ascii="黑体" w:hAnsi="黑体" w:eastAsia="黑体" w:cs="黑体"/>
          <w:b w:val="0"/>
          <w:bCs w:val="0"/>
          <w:vanish w:val="0"/>
          <w:color w:val="auto"/>
          <w:spacing w:val="0"/>
          <w:w w:val="100"/>
          <w:sz w:val="32"/>
          <w:szCs w:val="32"/>
          <w:u w:val="none"/>
          <w:lang w:val="en-US" w:eastAsia="zh-CN"/>
        </w:rPr>
        <w:t>五、推行线上招聘就业服务。</w:t>
      </w:r>
      <w:r>
        <w:rPr>
          <w:rFonts w:hint="eastAsia" w:ascii="仿宋_GB2312" w:hAnsi="仿宋_GB2312" w:eastAsia="仿宋_GB2312" w:cs="仿宋_GB2312"/>
          <w:vanish w:val="0"/>
          <w:color w:val="auto"/>
          <w:spacing w:val="0"/>
          <w:w w:val="100"/>
          <w:sz w:val="32"/>
          <w:szCs w:val="32"/>
          <w:u w:val="none"/>
          <w:lang w:val="en-US" w:eastAsia="zh-CN"/>
        </w:rPr>
        <w:t>全市各级人社部门要及时更新就业政策内容，各级公共就业部门要进一步完善各类就业服务事项清单，依托各级公共就业服务网站、微信公众号，向社会广泛发布。鼓励依托各类平台开展线上供需对接和就业服务，确保疫情防控期间“线上招聘不停歇，就业服务不掉线”。支持优质人力资源机构招聘服务进校园。开展“百场万人”校园招聘行动，规范有序组织用人单位和优质人力资源服务机构进校园开展就业招聘活动。对人社部门和高校联合举办的大型（参会用人单位不少于400家）、中型（参会用人单位不少于200家）、小型（参会用人单位不少于100家）线下招聘活动可分别按照15万元、10万元、6万元进行补助，线下招聘活动由各高校根据需要自主安排，年度内享受补助场次不超过2场，此项补助政策不与其他同类补助资金重复享受。</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vanish w:val="0"/>
          <w:color w:val="auto"/>
          <w:spacing w:val="0"/>
          <w:w w:val="100"/>
          <w:sz w:val="32"/>
          <w:szCs w:val="32"/>
          <w:u w:val="none"/>
          <w:lang w:val="en-US" w:eastAsia="zh-CN"/>
        </w:rPr>
      </w:pPr>
      <w:r>
        <w:rPr>
          <w:rFonts w:hint="eastAsia" w:ascii="黑体" w:hAnsi="黑体" w:eastAsia="黑体" w:cs="黑体"/>
          <w:b w:val="0"/>
          <w:bCs w:val="0"/>
          <w:vanish w:val="0"/>
          <w:color w:val="auto"/>
          <w:spacing w:val="0"/>
          <w:w w:val="100"/>
          <w:sz w:val="32"/>
          <w:szCs w:val="32"/>
          <w:u w:val="none"/>
          <w:lang w:val="en-US" w:eastAsia="zh-CN"/>
        </w:rPr>
        <w:t>六、鼓励企业多渠道解决用工需求。</w:t>
      </w:r>
      <w:r>
        <w:rPr>
          <w:rFonts w:hint="eastAsia" w:ascii="仿宋_GB2312" w:hAnsi="仿宋_GB2312" w:eastAsia="仿宋_GB2312" w:cs="仿宋_GB2312"/>
          <w:vanish w:val="0"/>
          <w:color w:val="auto"/>
          <w:spacing w:val="0"/>
          <w:w w:val="100"/>
          <w:sz w:val="32"/>
          <w:szCs w:val="32"/>
          <w:u w:val="none"/>
          <w:lang w:val="en-US" w:eastAsia="zh-CN"/>
        </w:rPr>
        <w:t>对新吸纳应届高校毕业生就业、签订1年劳动合同并缴纳社会保险的我市行政区域内注册企业，按照每人1000元的标准给予一次性吸纳高校毕业生就业补贴。对符合条件的困难应届高校毕业生按规定给予每人1000元的一次性求职补贴。此项补助政策不与其他同类补助资金重复享受。对保障疫情防控、 公共事业运行、群众生活必需及其他涉及重要国计民生企业，以及医疗检测机构，优先发布用工信息，组织行业线上专场招聘会，尽力满足企业阶段性用工需求。出台规范企业共享用工的有关细则，支持用人单位采用共享用工等模式，解决短期就业结构性矛盾。各县区人社部门要结合现有县区政府网站、微信公众号等线上渠道探索建立企业共享用工专区，帮助有需求的企业进行共享用工信息发布和查询。</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vanish w:val="0"/>
          <w:color w:val="auto"/>
          <w:spacing w:val="0"/>
          <w:w w:val="100"/>
          <w:sz w:val="32"/>
          <w:szCs w:val="32"/>
          <w:u w:val="none"/>
          <w:lang w:val="en-US" w:eastAsia="zh-CN"/>
        </w:rPr>
      </w:pPr>
      <w:r>
        <w:rPr>
          <w:rFonts w:hint="eastAsia" w:ascii="黑体" w:hAnsi="黑体" w:eastAsia="黑体" w:cs="黑体"/>
          <w:b w:val="0"/>
          <w:bCs w:val="0"/>
          <w:vanish w:val="0"/>
          <w:color w:val="auto"/>
          <w:spacing w:val="0"/>
          <w:w w:val="100"/>
          <w:sz w:val="32"/>
          <w:szCs w:val="32"/>
          <w:u w:val="none"/>
          <w:lang w:val="en-US" w:eastAsia="zh-CN"/>
        </w:rPr>
        <w:t>七、加大就业见习政策支持。</w:t>
      </w:r>
      <w:r>
        <w:rPr>
          <w:rFonts w:hint="eastAsia" w:ascii="仿宋_GB2312" w:hAnsi="仿宋_GB2312" w:eastAsia="仿宋_GB2312" w:cs="仿宋_GB2312"/>
          <w:vanish w:val="0"/>
          <w:color w:val="auto"/>
          <w:spacing w:val="0"/>
          <w:w w:val="100"/>
          <w:sz w:val="32"/>
          <w:szCs w:val="32"/>
          <w:u w:val="none"/>
          <w:lang w:val="en-US" w:eastAsia="zh-CN"/>
        </w:rPr>
        <w:t>将就业见习岗位的补贴标准提高到当地最低工资标准的80%，对见习人员见习期满留用率达到50%以上的见习单位，见习留用人员补贴标准提高到当地最低工资标准的100%。受疫情影响见习暂时中断的，见习期限及生活费期限顺延。见习单位在2022年12月31日前与学员签订1年及以上劳动合同且见习期满1个月但未满约定期限的，给予见习单位剩余期限见习补贴。</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vanish w:val="0"/>
          <w:color w:val="auto"/>
          <w:spacing w:val="0"/>
          <w:w w:val="100"/>
          <w:sz w:val="32"/>
          <w:szCs w:val="32"/>
          <w:u w:val="none"/>
          <w:lang w:val="en-US" w:eastAsia="zh-CN"/>
        </w:rPr>
      </w:pPr>
      <w:r>
        <w:rPr>
          <w:rFonts w:hint="eastAsia" w:ascii="黑体" w:hAnsi="黑体" w:eastAsia="黑体" w:cs="黑体"/>
          <w:b w:val="0"/>
          <w:bCs w:val="0"/>
          <w:vanish w:val="0"/>
          <w:color w:val="auto"/>
          <w:spacing w:val="0"/>
          <w:w w:val="100"/>
          <w:sz w:val="32"/>
          <w:szCs w:val="32"/>
          <w:u w:val="none"/>
          <w:lang w:val="en-US" w:eastAsia="zh-CN"/>
        </w:rPr>
        <w:t>八、强化重点群体就业帮扶。</w:t>
      </w:r>
      <w:r>
        <w:rPr>
          <w:rFonts w:hint="eastAsia" w:ascii="仿宋_GB2312" w:hAnsi="仿宋_GB2312" w:eastAsia="仿宋_GB2312" w:cs="仿宋_GB2312"/>
          <w:vanish w:val="0"/>
          <w:color w:val="auto"/>
          <w:spacing w:val="0"/>
          <w:w w:val="100"/>
          <w:sz w:val="32"/>
          <w:szCs w:val="32"/>
          <w:u w:val="none"/>
          <w:lang w:val="en-US" w:eastAsia="zh-CN"/>
        </w:rPr>
        <w:t>对有劳动能力、有就业意愿的未就业监测对象劳动力（脱贫不稳定户、边缘易致贫户、突发严重困难户）开展“一对一”就业帮扶，精准分类实施定向技能培训、岗位推送和公益性岗位安置等就业帮扶政策。对吸纳监测对象劳动力稳定就业半年以上的用工单位，按照每人2000元的标准给予一次性吸纳就业补贴。此项政策不与吸纳脱贫劳动力就业补贴重复享受。加强对疫情防控期间求职难的登记失业人员、就业困难人员、退捕渔民、未就业监测对象劳动力等重点群体的就业援助专项服务，出台重点群体服务清单，确保服务力度不减、服务精度提升、服务质效提档。对于零就业家庭严格实行“三级响应”标准化服务，发现一户即时清零一户。</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vanish w:val="0"/>
          <w:color w:val="auto"/>
          <w:spacing w:val="0"/>
          <w:w w:val="100"/>
          <w:sz w:val="32"/>
          <w:szCs w:val="32"/>
          <w:u w:val="none"/>
          <w:lang w:val="en-US" w:eastAsia="zh-CN"/>
        </w:rPr>
      </w:pPr>
      <w:r>
        <w:rPr>
          <w:rFonts w:hint="eastAsia" w:ascii="黑体" w:hAnsi="黑体" w:eastAsia="黑体" w:cs="黑体"/>
          <w:b w:val="0"/>
          <w:bCs w:val="0"/>
          <w:vanish w:val="0"/>
          <w:color w:val="auto"/>
          <w:spacing w:val="0"/>
          <w:w w:val="100"/>
          <w:sz w:val="32"/>
          <w:szCs w:val="32"/>
          <w:u w:val="none"/>
          <w:lang w:val="en-US" w:eastAsia="zh-CN"/>
        </w:rPr>
        <w:t>九、延续执行失业保险保障扩围政策。</w:t>
      </w:r>
      <w:r>
        <w:rPr>
          <w:rFonts w:hint="eastAsia" w:ascii="仿宋_GB2312" w:hAnsi="仿宋_GB2312" w:eastAsia="仿宋_GB2312" w:cs="仿宋_GB2312"/>
          <w:vanish w:val="0"/>
          <w:color w:val="auto"/>
          <w:spacing w:val="0"/>
          <w:w w:val="100"/>
          <w:sz w:val="32"/>
          <w:szCs w:val="32"/>
          <w:u w:val="none"/>
          <w:lang w:val="en-US" w:eastAsia="zh-CN"/>
        </w:rPr>
        <w:t>对领取失业保险金期满仍未就业的失业人员、不符合领取失业保险金条件的参保失业人员，由参保地按照每人每月1000元发放失业补助金，申领期限不超过6个月；对参保不满1年的失业农民工，参照参保地城市低保标准，按月发放期限不超过3个月的临时生活补助。失业补助金保障范围为2022年1月1日之后新发生的参保失业人员；之前已受理、享受期未满的人员可继续按照2021年失业补助金政策规定享受至期满为止，已申领享受人员不得重复申领。所需资金从失业保险基金中列支。</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vanish w:val="0"/>
          <w:color w:val="auto"/>
          <w:spacing w:val="0"/>
          <w:w w:val="100"/>
          <w:sz w:val="32"/>
          <w:szCs w:val="32"/>
          <w:u w:val="none"/>
          <w:lang w:val="en-US" w:eastAsia="zh-CN"/>
        </w:rPr>
      </w:pPr>
      <w:r>
        <w:rPr>
          <w:rFonts w:hint="eastAsia" w:ascii="黑体" w:hAnsi="黑体" w:eastAsia="黑体" w:cs="黑体"/>
          <w:b w:val="0"/>
          <w:bCs w:val="0"/>
          <w:vanish w:val="0"/>
          <w:color w:val="auto"/>
          <w:spacing w:val="0"/>
          <w:w w:val="100"/>
          <w:sz w:val="32"/>
          <w:szCs w:val="32"/>
          <w:u w:val="none"/>
          <w:lang w:val="en-US" w:eastAsia="zh-CN"/>
        </w:rPr>
        <w:t>十、加大创业贷款个人贴息力度。</w:t>
      </w:r>
      <w:r>
        <w:rPr>
          <w:rFonts w:hint="eastAsia" w:ascii="仿宋_GB2312" w:hAnsi="仿宋_GB2312" w:eastAsia="仿宋_GB2312" w:cs="仿宋_GB2312"/>
          <w:vanish w:val="0"/>
          <w:color w:val="auto"/>
          <w:spacing w:val="0"/>
          <w:w w:val="100"/>
          <w:sz w:val="32"/>
          <w:szCs w:val="32"/>
          <w:u w:val="none"/>
          <w:lang w:val="en-US" w:eastAsia="zh-CN"/>
        </w:rPr>
        <w:t>对属于就业困难人员、高校毕业生、脱贫人口、退捕渔民、复员转业退役军人等5类重点群体，或从事餐饮住宿、文化旅游、外贸出口、纺织服装等4类受疫情影响较大行业的个人创业担保贷款，原需借款人承担利息部分的50%，改由省财政和地方财政按3：7给予贴息。贴息所需资金，市本级从金融业发展专项中列支，县区财政应负担部分由县区财政列支。</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vanish w:val="0"/>
          <w:color w:val="auto"/>
          <w:spacing w:val="0"/>
          <w:w w:val="100"/>
          <w:sz w:val="32"/>
          <w:szCs w:val="32"/>
          <w:u w:val="none"/>
          <w:lang w:val="en-US" w:eastAsia="zh-CN"/>
        </w:rPr>
      </w:pPr>
      <w:r>
        <w:rPr>
          <w:rFonts w:hint="eastAsia" w:ascii="仿宋_GB2312" w:hAnsi="仿宋_GB2312" w:eastAsia="仿宋_GB2312" w:cs="仿宋_GB2312"/>
          <w:vanish w:val="0"/>
          <w:color w:val="auto"/>
          <w:spacing w:val="0"/>
          <w:w w:val="100"/>
          <w:sz w:val="32"/>
          <w:szCs w:val="32"/>
          <w:u w:val="none"/>
          <w:lang w:val="en-US" w:eastAsia="zh-CN"/>
        </w:rPr>
        <w:t>对于2022年以来失业后再创业的个人开展“免担保”贷款，单笔额度原则上不超过20万元，贷款利率不高于中国人民银行公布的最近一期贷款市场报价利率（LPR），贷款期限最长一年，授信期限最长三年。</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vanish w:val="0"/>
          <w:color w:val="auto"/>
          <w:spacing w:val="0"/>
          <w:w w:val="100"/>
          <w:sz w:val="32"/>
          <w:szCs w:val="32"/>
          <w:u w:val="none"/>
          <w:lang w:val="en-US" w:eastAsia="zh-CN"/>
        </w:rPr>
      </w:pPr>
      <w:r>
        <w:rPr>
          <w:rFonts w:hint="eastAsia" w:ascii="黑体" w:hAnsi="黑体" w:eastAsia="黑体" w:cs="黑体"/>
          <w:b w:val="0"/>
          <w:bCs w:val="0"/>
          <w:vanish w:val="0"/>
          <w:color w:val="auto"/>
          <w:spacing w:val="0"/>
          <w:w w:val="100"/>
          <w:sz w:val="32"/>
          <w:szCs w:val="32"/>
          <w:u w:val="none"/>
          <w:lang w:val="en-US" w:eastAsia="zh-CN"/>
        </w:rPr>
        <w:t>十一、鼓励创业孵化基地减免运行费用。</w:t>
      </w:r>
      <w:r>
        <w:rPr>
          <w:rFonts w:hint="eastAsia" w:ascii="仿宋_GB2312" w:hAnsi="仿宋_GB2312" w:eastAsia="仿宋_GB2312" w:cs="仿宋_GB2312"/>
          <w:vanish w:val="0"/>
          <w:color w:val="auto"/>
          <w:spacing w:val="0"/>
          <w:w w:val="100"/>
          <w:sz w:val="32"/>
          <w:szCs w:val="32"/>
          <w:u w:val="none"/>
          <w:lang w:val="en-US" w:eastAsia="zh-CN"/>
        </w:rPr>
        <w:t>鼓励受疫情影响较大的创业孵化基地运营主体对入驻实体、个人减免物管费、卫生费、房租费等运行费用，对全额减免运行费用的运营主体，按实际减免费用的80%给予补贴，以每个入驻实体、个人每季最高不超过1.3万元为限额。减免期间，入驻实体、个人不得再重复享受运行费补贴，但减免补贴月份计入创业孵化运行补贴期限中。</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vanish w:val="0"/>
          <w:color w:val="auto"/>
          <w:spacing w:val="0"/>
          <w:w w:val="100"/>
          <w:sz w:val="32"/>
          <w:szCs w:val="32"/>
          <w:u w:val="none"/>
          <w:lang w:val="en-US" w:eastAsia="zh-CN"/>
        </w:rPr>
      </w:pPr>
      <w:r>
        <w:rPr>
          <w:rFonts w:hint="eastAsia" w:ascii="黑体" w:hAnsi="黑体" w:eastAsia="黑体" w:cs="黑体"/>
          <w:b w:val="0"/>
          <w:bCs w:val="0"/>
          <w:vanish w:val="0"/>
          <w:color w:val="auto"/>
          <w:spacing w:val="0"/>
          <w:w w:val="100"/>
          <w:sz w:val="32"/>
          <w:szCs w:val="32"/>
          <w:u w:val="none"/>
          <w:lang w:val="en-US" w:eastAsia="zh-CN"/>
        </w:rPr>
        <w:t>十二、加大职业技能培训力度。</w:t>
      </w:r>
      <w:r>
        <w:rPr>
          <w:rFonts w:hint="eastAsia" w:ascii="仿宋_GB2312" w:hAnsi="仿宋_GB2312" w:eastAsia="仿宋_GB2312" w:cs="仿宋_GB2312"/>
          <w:vanish w:val="0"/>
          <w:color w:val="auto"/>
          <w:spacing w:val="0"/>
          <w:w w:val="100"/>
          <w:sz w:val="32"/>
          <w:szCs w:val="32"/>
          <w:u w:val="none"/>
          <w:lang w:val="en-US" w:eastAsia="zh-CN"/>
        </w:rPr>
        <w:t>结合“互联网+职业技能培训计划”要求，大力支持企业开展线上线下融合培训和工学一体培训。 疫情防控期间，企业可将理论课程采取线上方式开展（线上培训课程必须统一从江西省补贴性线上职业技能培训管理平台购买课程），并按规定给予培训补贴。进一步加大对受疫情影响较为严重的快递、餐饮、酒店等行业以及新业态、新经济方面的新职业工种的就业技能培训力度，帮助劳动者实现更全面、更稳定就业，帮助企业用工稳岗。</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vanish w:val="0"/>
          <w:color w:val="auto"/>
          <w:spacing w:val="0"/>
          <w:w w:val="100"/>
          <w:sz w:val="32"/>
          <w:szCs w:val="32"/>
          <w:u w:val="none"/>
          <w:lang w:val="en-US" w:eastAsia="zh-CN"/>
        </w:rPr>
      </w:pPr>
      <w:r>
        <w:rPr>
          <w:rFonts w:hint="eastAsia" w:ascii="仿宋_GB2312" w:hAnsi="仿宋_GB2312" w:eastAsia="仿宋_GB2312" w:cs="仿宋_GB2312"/>
          <w:vanish w:val="0"/>
          <w:color w:val="auto"/>
          <w:spacing w:val="0"/>
          <w:w w:val="100"/>
          <w:sz w:val="32"/>
          <w:szCs w:val="32"/>
          <w:u w:val="none"/>
          <w:lang w:val="en-US" w:eastAsia="zh-CN"/>
        </w:rPr>
        <w:t>上述政策从发布之日起实施，降费率、缓缴政策执行期限按国家规定，其他补贴政策措施执行期限至2022年12月31日。前述条款中未列明资金来源的，均由各地从就业补助资金中统筹安排。鼓励各县区（开发区）根据工作需要，按规定制定符合本地实际的就业创业扶持政策措施。执行期间国家、省有新政策或新要求的，按新政策、新要求执行。</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vanish w:val="0"/>
          <w:color w:val="auto"/>
          <w:spacing w:val="0"/>
          <w:w w:val="100"/>
          <w:sz w:val="32"/>
          <w:szCs w:val="32"/>
          <w:u w:val="none"/>
          <w:lang w:val="en-US" w:eastAsia="zh-CN"/>
        </w:rPr>
      </w:pPr>
      <w:r>
        <w:rPr>
          <w:rFonts w:hint="eastAsia" w:ascii="仿宋_GB2312" w:hAnsi="仿宋_GB2312" w:eastAsia="仿宋_GB2312" w:cs="仿宋_GB2312"/>
          <w:vanish w:val="0"/>
          <w:color w:val="auto"/>
          <w:spacing w:val="0"/>
          <w:w w:val="100"/>
          <w:sz w:val="32"/>
          <w:szCs w:val="32"/>
          <w:u w:val="none"/>
          <w:lang w:val="en-US" w:eastAsia="zh-CN"/>
        </w:rPr>
        <w:t>各县区（开发区）要贯彻落实市人社部门明确的各自涉及服务事项办事指南、办理方式和办理时限。各有关部门要加大政策宣传解读力度，充分利用电视、报纸、门户网站、“两微一端”、短视频等多种媒体，扩大政策知晓度；进一步完善人社惠企政策兑现窗口，大力推广“免申即享”等经办方式，为中小微企业、重点群体和困难群体提供线上线下融合、精准高效的政策推送和政策兑现。劳动保障监察、劳动人事争议仲裁部门要强化违法案件查处和矛盾纠纷化解力度，对贯彻情况依法监督。</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vanish w:val="0"/>
          <w:color w:val="auto"/>
          <w:spacing w:val="0"/>
          <w:w w:val="100"/>
          <w:sz w:val="32"/>
          <w:szCs w:val="32"/>
          <w:u w:val="none"/>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vanish w:val="0"/>
          <w:color w:val="auto"/>
          <w:spacing w:val="0"/>
          <w:w w:val="100"/>
          <w:sz w:val="32"/>
          <w:szCs w:val="32"/>
          <w:u w:val="none"/>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vanish w:val="0"/>
          <w:color w:val="auto"/>
          <w:spacing w:val="0"/>
          <w:w w:val="100"/>
          <w:sz w:val="32"/>
          <w:szCs w:val="32"/>
          <w:u w:val="none"/>
          <w:lang w:val="en-US" w:eastAsia="zh-CN"/>
        </w:rPr>
      </w:pPr>
      <w:r>
        <w:rPr>
          <w:rFonts w:hint="eastAsia" w:ascii="仿宋_GB2312" w:hAnsi="仿宋_GB2312" w:eastAsia="仿宋_GB2312" w:cs="仿宋_GB2312"/>
          <w:vanish w:val="0"/>
          <w:color w:val="auto"/>
          <w:spacing w:val="0"/>
          <w:w w:val="100"/>
          <w:sz w:val="32"/>
          <w:szCs w:val="32"/>
          <w:u w:val="none"/>
          <w:lang w:val="en-US" w:eastAsia="zh-CN"/>
        </w:rPr>
        <w:t>南昌市人力资源和社会保障局       南昌市财政局</w:t>
      </w:r>
    </w:p>
    <w:p>
      <w:pPr>
        <w:keepNext w:val="0"/>
        <w:keepLines w:val="0"/>
        <w:pageBreakBefore w:val="0"/>
        <w:kinsoku/>
        <w:wordWrap/>
        <w:overflowPunct/>
        <w:topLinePunct w:val="0"/>
        <w:autoSpaceDE/>
        <w:autoSpaceDN/>
        <w:bidi w:val="0"/>
        <w:adjustRightInd/>
        <w:snapToGrid/>
        <w:spacing w:line="560" w:lineRule="exact"/>
        <w:ind w:firstLine="5760" w:firstLineChars="1800"/>
        <w:jc w:val="left"/>
        <w:textAlignment w:val="auto"/>
        <w:rPr>
          <w:rFonts w:hint="eastAsia" w:ascii="仿宋_GB2312" w:hAnsi="仿宋_GB2312" w:eastAsia="仿宋_GB2312" w:cs="仿宋_GB2312"/>
          <w:vanish w:val="0"/>
          <w:color w:val="auto"/>
          <w:spacing w:val="0"/>
          <w:w w:val="100"/>
          <w:sz w:val="32"/>
          <w:szCs w:val="32"/>
          <w:u w:val="none"/>
          <w:lang w:val="en-US" w:eastAsia="zh-CN"/>
        </w:rPr>
      </w:pPr>
      <w:r>
        <w:rPr>
          <w:rFonts w:hint="eastAsia" w:ascii="仿宋_GB2312" w:hAnsi="仿宋_GB2312" w:eastAsia="仿宋_GB2312" w:cs="仿宋_GB2312"/>
          <w:vanish w:val="0"/>
          <w:color w:val="auto"/>
          <w:spacing w:val="0"/>
          <w:w w:val="100"/>
          <w:sz w:val="32"/>
          <w:szCs w:val="32"/>
          <w:u w:val="none"/>
          <w:lang w:val="en-US" w:eastAsia="zh-CN"/>
        </w:rPr>
        <w:t>2022年</w:t>
      </w:r>
      <w:r>
        <w:rPr>
          <w:rFonts w:hint="eastAsia" w:ascii="仿宋_GB2312" w:hAnsi="仿宋_GB2312" w:cs="仿宋_GB2312"/>
          <w:vanish w:val="0"/>
          <w:color w:val="auto"/>
          <w:spacing w:val="0"/>
          <w:w w:val="100"/>
          <w:sz w:val="32"/>
          <w:szCs w:val="32"/>
          <w:u w:val="none"/>
          <w:lang w:val="en-US" w:eastAsia="zh-CN"/>
        </w:rPr>
        <w:t>5</w:t>
      </w:r>
      <w:r>
        <w:rPr>
          <w:rFonts w:hint="eastAsia" w:ascii="仿宋_GB2312" w:hAnsi="仿宋_GB2312" w:eastAsia="仿宋_GB2312" w:cs="仿宋_GB2312"/>
          <w:vanish w:val="0"/>
          <w:color w:val="auto"/>
          <w:spacing w:val="0"/>
          <w:w w:val="100"/>
          <w:sz w:val="32"/>
          <w:szCs w:val="32"/>
          <w:u w:val="none"/>
          <w:lang w:val="en-US" w:eastAsia="zh-CN"/>
        </w:rPr>
        <w:t>月</w:t>
      </w:r>
      <w:r>
        <w:rPr>
          <w:rFonts w:hint="eastAsia" w:ascii="仿宋_GB2312" w:hAnsi="仿宋_GB2312" w:cs="仿宋_GB2312"/>
          <w:vanish w:val="0"/>
          <w:color w:val="auto"/>
          <w:spacing w:val="0"/>
          <w:w w:val="100"/>
          <w:sz w:val="32"/>
          <w:szCs w:val="32"/>
          <w:u w:val="none"/>
          <w:lang w:val="en-US" w:eastAsia="zh-CN"/>
        </w:rPr>
        <w:t>30</w:t>
      </w:r>
      <w:r>
        <w:rPr>
          <w:rFonts w:hint="eastAsia" w:ascii="仿宋_GB2312" w:hAnsi="仿宋_GB2312" w:eastAsia="仿宋_GB2312" w:cs="仿宋_GB2312"/>
          <w:vanish w:val="0"/>
          <w:color w:val="auto"/>
          <w:spacing w:val="0"/>
          <w:w w:val="100"/>
          <w:sz w:val="32"/>
          <w:szCs w:val="32"/>
          <w:u w:val="none"/>
          <w:lang w:val="en-US" w:eastAsia="zh-CN"/>
        </w:rPr>
        <w:t>日</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vanish w:val="0"/>
          <w:color w:val="auto"/>
          <w:spacing w:val="0"/>
          <w:w w:val="100"/>
          <w:sz w:val="32"/>
          <w:szCs w:val="32"/>
          <w:u w:val="none"/>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vanish w:val="0"/>
          <w:color w:val="auto"/>
          <w:spacing w:val="0"/>
          <w:w w:val="100"/>
          <w:sz w:val="32"/>
          <w:szCs w:val="32"/>
          <w:u w:val="none"/>
          <w:lang w:val="en-US" w:eastAsia="zh-CN"/>
        </w:rPr>
      </w:pPr>
      <w:r>
        <w:rPr>
          <w:rFonts w:hint="eastAsia" w:ascii="仿宋_GB2312" w:hAnsi="仿宋_GB2312" w:eastAsia="仿宋_GB2312" w:cs="仿宋_GB2312"/>
          <w:vanish w:val="0"/>
          <w:color w:val="auto"/>
          <w:spacing w:val="0"/>
          <w:w w:val="100"/>
          <w:sz w:val="32"/>
          <w:szCs w:val="32"/>
          <w:u w:val="none"/>
          <w:lang w:val="en-US" w:eastAsia="zh-CN"/>
        </w:rPr>
        <w:t>（此件主动公开）</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pacing w:val="-20"/>
          <w:sz w:val="44"/>
          <w:szCs w:val="44"/>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pacing w:val="-20"/>
          <w:sz w:val="44"/>
          <w:szCs w:val="44"/>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bidi w:val="0"/>
        <w:rPr>
          <w:rFonts w:hint="default" w:ascii="Times New Roman" w:hAnsi="Times New Roman" w:eastAsia="仿宋_GB2312" w:cs="Times New Roman"/>
          <w:kern w:val="2"/>
          <w:sz w:val="32"/>
          <w:szCs w:val="22"/>
          <w:lang w:val="en-US" w:eastAsia="zh-CN" w:bidi="ar-SA"/>
        </w:rPr>
      </w:pPr>
    </w:p>
    <w:p>
      <w:pPr>
        <w:pStyle w:val="4"/>
        <w:rPr>
          <w:rFonts w:hint="default"/>
          <w:lang w:val="en-US" w:eastAsia="zh-CN"/>
        </w:rPr>
      </w:pPr>
    </w:p>
    <w:p>
      <w:pPr>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ind w:left="0" w:leftChars="0" w:firstLine="0" w:firstLineChars="0"/>
        <w:rPr>
          <w:rFonts w:hint="default"/>
          <w:lang w:val="en-US" w:eastAsia="zh-CN"/>
        </w:rPr>
      </w:pPr>
    </w:p>
    <w:p>
      <w:pPr>
        <w:pStyle w:val="2"/>
        <w:rPr>
          <w:rFonts w:hint="default"/>
          <w:lang w:val="en-US" w:eastAsia="zh-CN"/>
        </w:rPr>
      </w:pPr>
    </w:p>
    <w:p>
      <w:pPr>
        <w:bidi w:val="0"/>
        <w:rPr>
          <w:rFonts w:hint="default"/>
          <w:lang w:val="en-US" w:eastAsia="zh-CN"/>
        </w:rPr>
      </w:pPr>
    </w:p>
    <w:p>
      <w:pPr>
        <w:tabs>
          <w:tab w:val="left" w:pos="261"/>
          <w:tab w:val="center" w:pos="4720"/>
        </w:tabs>
        <w:wordWrap w:val="0"/>
        <w:snapToGrid w:val="0"/>
        <w:spacing w:line="520" w:lineRule="exact"/>
        <w:ind w:firstLine="272" w:firstLineChars="100"/>
        <w:jc w:val="left"/>
        <w:rPr>
          <w:rFonts w:ascii="仿宋_GB2312" w:eastAsia="仿宋_GB2312"/>
          <w:sz w:val="32"/>
          <w:szCs w:val="32"/>
        </w:rPr>
      </w:pPr>
      <w:r>
        <w:rPr>
          <w:rFonts w:ascii="仿宋_GB2312" w:eastAsia="仿宋_GB2312"/>
          <w:spacing w:val="-4"/>
          <w:sz w:val="28"/>
          <w:szCs w:val="28"/>
          <w:lang w:val="zh-CN"/>
        </w:rPr>
        <mc:AlternateContent>
          <mc:Choice Requires="wps">
            <w:drawing>
              <wp:anchor distT="0" distB="0" distL="114300" distR="114300" simplePos="0" relativeHeight="251660288" behindDoc="0" locked="0" layoutInCell="1" allowOverlap="1">
                <wp:simplePos x="0" y="0"/>
                <wp:positionH relativeFrom="column">
                  <wp:posOffset>-95250</wp:posOffset>
                </wp:positionH>
                <wp:positionV relativeFrom="paragraph">
                  <wp:posOffset>19685</wp:posOffset>
                </wp:positionV>
                <wp:extent cx="5486400" cy="0"/>
                <wp:effectExtent l="0" t="0" r="0" b="0"/>
                <wp:wrapNone/>
                <wp:docPr id="3" name="直线 4"/>
                <wp:cNvGraphicFramePr/>
                <a:graphic xmlns:a="http://schemas.openxmlformats.org/drawingml/2006/main">
                  <a:graphicData uri="http://schemas.microsoft.com/office/word/2010/wordprocessingShape">
                    <wps:wsp>
                      <wps:cNvCnPr/>
                      <wps:spPr>
                        <a:xfrm>
                          <a:off x="0" y="0"/>
                          <a:ext cx="54864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4" o:spid="_x0000_s1026" o:spt="20" style="position:absolute;left:0pt;margin-left:-7.5pt;margin-top:1.55pt;height:0pt;width:432pt;z-index:251660288;mso-width-relative:page;mso-height-relative:page;" filled="f" stroked="t" coordsize="21600,21600" o:gfxdata="UEsDBAoAAAAAAIdO4kAAAAAAAAAAAAAAAAAEAAAAZHJzL1BLAwQUAAAACACHTuJA6Sr6FtQAAAAH&#10;AQAADwAAAGRycy9kb3ducmV2LnhtbE2Py07DMBBF90j8gzVIbKrWTguohDhdANmxoYDYTuMhiYjH&#10;aew+4OsZuoHl0R3de6ZYHX2v9jTGLrCFbGZAEdfBddxYeH2ppktQMSE77AOThS+KsCrPzwrMXTjw&#10;M+3XqVFSwjFHC21KQ651rFvyGGdhIJbsI4wek+DYaDfiQcp9r+fG3GiPHctCiwPdt1R/rnfeQqze&#10;aFt9T+qJeV80gebbh6dHtPbyIjN3oBId098x/OqLOpTitAk7dlH1FqbZtfySLCwyUJIvr26FNyfW&#10;ZaH/+5c/UEsDBBQAAAAIAIdO4kDvCiyK6AEAANsDAAAOAAAAZHJzL2Uyb0RvYy54bWytU0uOEzEQ&#10;3SNxB8t70klIRkMrnVlMGDYIIgEHqNjubkv+yeWkk7NwDVZsOM5cg7I7k4FhkwW9cJdd5Vf1XpVX&#10;d0dr2EFF1N41fDaZcqac8FK7ruHfvj68ueUMEzgJxjvV8JNCfrd+/Wo1hFrNfe+NVJERiMN6CA3v&#10;Uwp1VaHolQWc+KAcOVsfLSTaxq6SEQZCt6aaT6c31eCjDNELhUinm9HJz4jxGkDftlqojRd7q1wa&#10;UaMykIgS9jogX5dq21aJ9LltUSVmGk5MU1kpCdm7vFbrFdRdhNBrcS4BrinhBScL2lHSC9QGErB9&#10;1P9AWS2iR9+mifC2GokURYjFbPpCmy89BFW4kNQYLqLj/4MVnw7byLRs+FvOHFhq+OP3H48/f7FF&#10;1mYIWFPIvdvG8w7DNmaixzba/CcK7Fj0PF30VMfEBB0uF7c3iylJLZ581fPFEDF9UN6ybDTcaJep&#10;Qg2Hj5goGYU+heRj49jQ8HfL+ZLggOaupX6TaQPVjq4rd9EbLR+0MfkGxm53byI7QO59+TIlwv0r&#10;LCfZAPZjXHGNU9ErkO+dZOkUSBVHj4HnEqySnBlFbydbBAh1Am2uiaTUxlEFWdVRx2ztvDxRD/Yh&#10;6q4nJWalyuyhnpd6z/OZh+rPfUF6fpPr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Okq+hbUAAAA&#10;BwEAAA8AAAAAAAAAAQAgAAAAIgAAAGRycy9kb3ducmV2LnhtbFBLAQIUABQAAAAIAIdO4kDvCiyK&#10;6AEAANsDAAAOAAAAAAAAAAEAIAAAACMBAABkcnMvZTJvRG9jLnhtbFBLBQYAAAAABgAGAFkBAAB9&#10;BQAAAAA=&#10;">
                <v:fill on="f" focussize="0,0"/>
                <v:stroke color="#000000" joinstyle="round"/>
                <v:imagedata o:title=""/>
                <o:lock v:ext="edit" aspectratio="f"/>
              </v:line>
            </w:pict>
          </mc:Fallback>
        </mc:AlternateContent>
      </w:r>
      <w:r>
        <w:rPr>
          <w:rFonts w:hint="eastAsia" w:ascii="仿宋_GB2312" w:eastAsia="仿宋_GB2312"/>
          <w:spacing w:val="-4"/>
          <w:sz w:val="28"/>
          <w:szCs w:val="28"/>
        </w:rPr>
        <w:t xml:space="preserve">南昌市人力资源和社会保障局办公室       </w:t>
      </w:r>
      <w:r>
        <w:rPr>
          <w:rFonts w:hint="eastAsia" w:ascii="仿宋_GB2312" w:eastAsia="仿宋_GB2312"/>
          <w:spacing w:val="-4"/>
          <w:sz w:val="28"/>
          <w:szCs w:val="28"/>
          <w:lang w:val="en-US" w:eastAsia="zh-CN"/>
        </w:rPr>
        <w:t xml:space="preserve"> </w:t>
      </w:r>
      <w:r>
        <w:rPr>
          <w:rFonts w:hint="eastAsia" w:ascii="仿宋_GB2312" w:eastAsia="仿宋_GB2312"/>
          <w:spacing w:val="-4"/>
          <w:sz w:val="28"/>
          <w:szCs w:val="28"/>
        </w:rPr>
        <w:t>20</w:t>
      </w:r>
      <w:r>
        <w:rPr>
          <w:rFonts w:hint="eastAsia" w:ascii="仿宋_GB2312" w:eastAsia="仿宋_GB2312"/>
          <w:spacing w:val="-4"/>
          <w:sz w:val="28"/>
          <w:szCs w:val="28"/>
          <w:lang w:val="en-US" w:eastAsia="zh-CN"/>
        </w:rPr>
        <w:t>2</w:t>
      </w:r>
      <w:r>
        <w:rPr>
          <w:rFonts w:hint="eastAsia" w:ascii="仿宋_GB2312"/>
          <w:spacing w:val="-4"/>
          <w:sz w:val="28"/>
          <w:szCs w:val="28"/>
          <w:lang w:val="en-US" w:eastAsia="zh-CN"/>
        </w:rPr>
        <w:t>2</w:t>
      </w:r>
      <w:r>
        <w:rPr>
          <w:rFonts w:hint="eastAsia" w:ascii="仿宋_GB2312" w:eastAsia="仿宋_GB2312"/>
          <w:spacing w:val="-4"/>
          <w:sz w:val="28"/>
          <w:szCs w:val="28"/>
        </w:rPr>
        <w:t>年</w:t>
      </w:r>
      <w:r>
        <w:rPr>
          <w:rFonts w:hint="eastAsia" w:ascii="仿宋_GB2312"/>
          <w:spacing w:val="-4"/>
          <w:sz w:val="28"/>
          <w:szCs w:val="28"/>
          <w:lang w:val="en-US" w:eastAsia="zh-CN"/>
        </w:rPr>
        <w:t>5</w:t>
      </w:r>
      <w:r>
        <w:rPr>
          <w:rFonts w:hint="eastAsia" w:ascii="仿宋_GB2312" w:eastAsia="仿宋_GB2312"/>
          <w:spacing w:val="-4"/>
          <w:sz w:val="28"/>
          <w:szCs w:val="28"/>
        </w:rPr>
        <w:t>月</w:t>
      </w:r>
      <w:r>
        <w:rPr>
          <w:rFonts w:hint="eastAsia" w:ascii="仿宋_GB2312"/>
          <w:spacing w:val="-4"/>
          <w:sz w:val="28"/>
          <w:szCs w:val="28"/>
          <w:lang w:val="en-US" w:eastAsia="zh-CN"/>
        </w:rPr>
        <w:t>30</w:t>
      </w:r>
      <w:r>
        <w:rPr>
          <w:rFonts w:hint="eastAsia" w:ascii="仿宋_GB2312" w:eastAsia="仿宋_GB2312"/>
          <w:spacing w:val="-4"/>
          <w:sz w:val="28"/>
          <w:szCs w:val="28"/>
        </w:rPr>
        <w:t>日印发</w:t>
      </w:r>
    </w:p>
    <w:p>
      <w:pPr>
        <w:jc w:val="center"/>
        <w:rPr>
          <w:rFonts w:hint="eastAsia"/>
          <w:lang w:val="en-US" w:eastAsia="zh-CN"/>
        </w:rPr>
      </w:pPr>
      <w:r>
        <w:rPr>
          <w:rFonts w:ascii="仿宋_GB2312" w:eastAsia="仿宋_GB2312"/>
          <w:spacing w:val="-4"/>
          <w:sz w:val="28"/>
          <w:szCs w:val="28"/>
          <w:lang w:val="zh-CN"/>
        </w:rPr>
        <mc:AlternateContent>
          <mc:Choice Requires="wps">
            <w:drawing>
              <wp:anchor distT="0" distB="0" distL="114300" distR="114300" simplePos="0" relativeHeight="251661312" behindDoc="0" locked="0" layoutInCell="1" allowOverlap="1">
                <wp:simplePos x="0" y="0"/>
                <wp:positionH relativeFrom="column">
                  <wp:posOffset>-112395</wp:posOffset>
                </wp:positionH>
                <wp:positionV relativeFrom="paragraph">
                  <wp:posOffset>92710</wp:posOffset>
                </wp:positionV>
                <wp:extent cx="5560695" cy="5080"/>
                <wp:effectExtent l="0" t="0" r="0" b="0"/>
                <wp:wrapNone/>
                <wp:docPr id="4" name="直线 2"/>
                <wp:cNvGraphicFramePr/>
                <a:graphic xmlns:a="http://schemas.openxmlformats.org/drawingml/2006/main">
                  <a:graphicData uri="http://schemas.microsoft.com/office/word/2010/wordprocessingShape">
                    <wps:wsp>
                      <wps:cNvCnPr/>
                      <wps:spPr>
                        <a:xfrm flipV="1">
                          <a:off x="0" y="0"/>
                          <a:ext cx="5560695" cy="508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2" o:spid="_x0000_s1026" o:spt="20" style="position:absolute;left:0pt;flip:y;margin-left:-8.85pt;margin-top:7.3pt;height:0.4pt;width:437.85pt;z-index:251661312;mso-width-relative:page;mso-height-relative:page;" filled="f" stroked="t" coordsize="21600,21600" o:gfxdata="UEsDBAoAAAAAAIdO4kAAAAAAAAAAAAAAAAAEAAAAZHJzL1BLAwQUAAAACACHTuJAw1SIXtgAAAAJ&#10;AQAADwAAAGRycy9kb3ducmV2LnhtbE2PzU7DMBCE70i8g7VI3FonpT9piFMhBFyQKlFCz068JBH2&#10;OordtLw9ywmOO/NpdqbYXZwVE46h96QgnScgkBpvemoVVO/PswxEiJqMtp5QwTcG2JXXV4XOjT/T&#10;G06H2AoOoZBrBV2MQy5laDp0Osz9gMTepx+djnyOrTSjPnO4s3KRJGvpdE/8odMDPnbYfB1OTsHD&#10;8fXpbj/VzluzbasP46rkZaHU7U2a3IOIeIl/MPzW5+pQcqfan8gEYRXM0s2GUTaWaxAMZKuMx9Us&#10;rJYgy0L+X1D+AFBLAwQUAAAACACHTuJA9R2RL/MBAADoAwAADgAAAGRycy9lMm9Eb2MueG1srVM7&#10;jtswEO0D5A4E+1iyERu7wspbrLNpgsRAPv2YIiUC/IFDW/ZZco1UaXKcvUaGlOMkm8ZFVAhDzvDN&#10;vMfHu/ujNewgI2rvWj6f1ZxJJ3ynXd/yz58eX91whglcB8Y72fKTRH6/fvnibgyNXPjBm05GRiAO&#10;mzG0fEgpNFWFYpAWcOaDdJRUPlpItIx91UUYCd2aalHXq2r0sQvRC4lIu5spyc+I8RpAr5QWcuPF&#10;3kqXJtQoDSSihIMOyNdlWqWkSB+UQpmYaTkxTeVPTSje5X+1voOmjxAGLc4jwDUjPONkQTtqeoHa&#10;QAK2j/ofKKtF9OhVmglvq4lIUYRYzOtn2nwcIMjChaTGcBEd/x+seH/YRqa7lr/mzIGlC3/6+u3p&#10;+w+2yNqMARsqeXDbeF5h2MZM9KiiZcro8IVMVKgTGXYsyp4uyspjYoI2l8tVvbpdciYot6xvivDV&#10;hJLRQsT0VnrLctByo13mDQ0c3mGizlT6qyRvG8fGlt8uFxkRyISKLp9CG4gIur6cRW9096iNyScw&#10;9rsHE9kBshHKl/kR7l9luckGcJjqSmqyyCChe+M6lk6BJHL0MngewcqOMyPpIeWIAKFJoM01ldTa&#10;OJogSzyJmqOd7050IfsQdT+QEvMyZc6QAcq8Z7Nmh/25Lki/H+j6J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MNUiF7YAAAACQEAAA8AAAAAAAAAAQAgAAAAIgAAAGRycy9kb3ducmV2LnhtbFBLAQIU&#10;ABQAAAAIAIdO4kD1HZEv8wEAAOgDAAAOAAAAAAAAAAEAIAAAACcBAABkcnMvZTJvRG9jLnhtbFBL&#10;BQYAAAAABgAGAFkBAACMBQAAAAA=&#10;">
                <v:fill on="f" focussize="0,0"/>
                <v:stroke color="#000000" joinstyle="round"/>
                <v:imagedata o:title=""/>
                <o:lock v:ext="edit" aspectratio="f"/>
              </v:line>
            </w:pict>
          </mc:Fallback>
        </mc:AlternateContent>
      </w:r>
    </w:p>
    <w:sectPr>
      <w:footerReference r:id="rId3" w:type="default"/>
      <w:pgSz w:w="11906" w:h="16838"/>
      <w:pgMar w:top="1270" w:right="1803" w:bottom="1213" w:left="1803" w:header="851" w:footer="992" w:gutter="0"/>
      <w:pgNumType w:fmt="numberInDash"/>
      <w:cols w:space="0" w:num="1"/>
      <w:rtlGutter w:val="0"/>
      <w:docGrid w:type="lines" w:linePitch="32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0000500000000000000"/>
    <w:charset w:val="86"/>
    <w:family w:val="auto"/>
    <w:pitch w:val="default"/>
    <w:sig w:usb0="A0000287" w:usb1="180F1C13" w:usb2="00000016" w:usb3="00000000" w:csb0="6004019F" w:csb1="DFD7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HorizontalSpacing w:val="105"/>
  <w:drawingGridVerticalSpacing w:val="160"/>
  <w:displayHorizontalDrawingGridEvery w:val="1"/>
  <w:displayVerticalDrawingGridEvery w:val="2"/>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ZhYjI2YWY2MTM4MTQ0NDdhY2Q4MGJhNzQzNmNjZGEifQ=="/>
  </w:docVars>
  <w:rsids>
    <w:rsidRoot w:val="6B830060"/>
    <w:rsid w:val="00054C18"/>
    <w:rsid w:val="001B6395"/>
    <w:rsid w:val="00234161"/>
    <w:rsid w:val="002F2973"/>
    <w:rsid w:val="002F5678"/>
    <w:rsid w:val="00340BB4"/>
    <w:rsid w:val="003664C9"/>
    <w:rsid w:val="004475F5"/>
    <w:rsid w:val="00481F0C"/>
    <w:rsid w:val="00583AC8"/>
    <w:rsid w:val="005C08E0"/>
    <w:rsid w:val="0064487A"/>
    <w:rsid w:val="00793D5C"/>
    <w:rsid w:val="008B18BE"/>
    <w:rsid w:val="008D48B9"/>
    <w:rsid w:val="008F3C96"/>
    <w:rsid w:val="00AA13C2"/>
    <w:rsid w:val="00AE132F"/>
    <w:rsid w:val="00B02ADF"/>
    <w:rsid w:val="00BC78BD"/>
    <w:rsid w:val="00C85F1F"/>
    <w:rsid w:val="00CE66F6"/>
    <w:rsid w:val="00CF5BC7"/>
    <w:rsid w:val="00CF6BBD"/>
    <w:rsid w:val="00D152DA"/>
    <w:rsid w:val="00E61E10"/>
    <w:rsid w:val="00F17BDE"/>
    <w:rsid w:val="00FA5F84"/>
    <w:rsid w:val="00FA7BF4"/>
    <w:rsid w:val="00FD1547"/>
    <w:rsid w:val="00FD79F0"/>
    <w:rsid w:val="05A0650E"/>
    <w:rsid w:val="075B25B8"/>
    <w:rsid w:val="0A396648"/>
    <w:rsid w:val="0CD4273E"/>
    <w:rsid w:val="0F2A7CC3"/>
    <w:rsid w:val="1097097C"/>
    <w:rsid w:val="125312FD"/>
    <w:rsid w:val="153D6C12"/>
    <w:rsid w:val="15EC36F1"/>
    <w:rsid w:val="194A1E00"/>
    <w:rsid w:val="1B7538B8"/>
    <w:rsid w:val="1B8563CF"/>
    <w:rsid w:val="1FFC7D99"/>
    <w:rsid w:val="245E6E2E"/>
    <w:rsid w:val="271B4C7B"/>
    <w:rsid w:val="28F40B5B"/>
    <w:rsid w:val="292221E4"/>
    <w:rsid w:val="2B980257"/>
    <w:rsid w:val="2BFA3CEF"/>
    <w:rsid w:val="2E735878"/>
    <w:rsid w:val="2F632EB9"/>
    <w:rsid w:val="330D6540"/>
    <w:rsid w:val="33A23DF6"/>
    <w:rsid w:val="34025DA4"/>
    <w:rsid w:val="3470177E"/>
    <w:rsid w:val="34C41D8A"/>
    <w:rsid w:val="351A555E"/>
    <w:rsid w:val="36B93308"/>
    <w:rsid w:val="37B96837"/>
    <w:rsid w:val="37E60061"/>
    <w:rsid w:val="3BFC2B91"/>
    <w:rsid w:val="3D3C042C"/>
    <w:rsid w:val="3D9701CA"/>
    <w:rsid w:val="3DB265F7"/>
    <w:rsid w:val="3EB01392"/>
    <w:rsid w:val="45453F7F"/>
    <w:rsid w:val="46C801D6"/>
    <w:rsid w:val="491A60DE"/>
    <w:rsid w:val="49C53716"/>
    <w:rsid w:val="4E7954C1"/>
    <w:rsid w:val="4EBA0FDF"/>
    <w:rsid w:val="4FC57030"/>
    <w:rsid w:val="51825543"/>
    <w:rsid w:val="55C355E8"/>
    <w:rsid w:val="55EB3B4D"/>
    <w:rsid w:val="5886500F"/>
    <w:rsid w:val="591A71E3"/>
    <w:rsid w:val="5B495C19"/>
    <w:rsid w:val="5DAF44F6"/>
    <w:rsid w:val="5EAF3BFA"/>
    <w:rsid w:val="5EB35629"/>
    <w:rsid w:val="5FBD61B8"/>
    <w:rsid w:val="5FD9609E"/>
    <w:rsid w:val="605C0B38"/>
    <w:rsid w:val="61327CC3"/>
    <w:rsid w:val="61A3607B"/>
    <w:rsid w:val="61D633B4"/>
    <w:rsid w:val="61E839DE"/>
    <w:rsid w:val="629D224B"/>
    <w:rsid w:val="64902DAD"/>
    <w:rsid w:val="66C1600C"/>
    <w:rsid w:val="67226345"/>
    <w:rsid w:val="67434E45"/>
    <w:rsid w:val="67F84733"/>
    <w:rsid w:val="6B830060"/>
    <w:rsid w:val="6E2E53F5"/>
    <w:rsid w:val="6F514ACC"/>
    <w:rsid w:val="6F6C4003"/>
    <w:rsid w:val="70F52427"/>
    <w:rsid w:val="73802E0C"/>
    <w:rsid w:val="73F407E7"/>
    <w:rsid w:val="74551D48"/>
    <w:rsid w:val="74854F68"/>
    <w:rsid w:val="78073C09"/>
    <w:rsid w:val="7ABC050C"/>
    <w:rsid w:val="7D2D21F5"/>
    <w:rsid w:val="7D7C048B"/>
    <w:rsid w:val="7E345747"/>
    <w:rsid w:val="7F8B13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rPr>
      <w:szCs w:val="22"/>
    </w:rPr>
  </w:style>
  <w:style w:type="paragraph" w:styleId="3">
    <w:name w:val="Body Text Indent"/>
    <w:basedOn w:val="1"/>
    <w:qFormat/>
    <w:uiPriority w:val="0"/>
    <w:pPr>
      <w:spacing w:after="120"/>
      <w:ind w:left="420" w:leftChars="200"/>
    </w:pPr>
  </w:style>
  <w:style w:type="paragraph" w:styleId="4">
    <w:name w:val="Body Text"/>
    <w:basedOn w:val="1"/>
    <w:next w:val="1"/>
    <w:unhideWhenUsed/>
    <w:qFormat/>
    <w:uiPriority w:val="99"/>
    <w:pPr>
      <w:spacing w:after="120"/>
    </w:pPr>
  </w:style>
  <w:style w:type="paragraph" w:styleId="5">
    <w:name w:val="Balloon Text"/>
    <w:basedOn w:val="1"/>
    <w:link w:val="13"/>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9">
    <w:name w:val="Body Text First Indent"/>
    <w:basedOn w:val="4"/>
    <w:qFormat/>
    <w:uiPriority w:val="99"/>
    <w:pPr>
      <w:spacing w:after="0" w:line="500" w:lineRule="exact"/>
      <w:ind w:firstLine="420"/>
    </w:pPr>
    <w:rPr>
      <w:sz w:val="28"/>
      <w:szCs w:val="28"/>
    </w:rPr>
  </w:style>
  <w:style w:type="character" w:customStyle="1" w:styleId="12">
    <w:name w:val="页眉 Char"/>
    <w:basedOn w:val="11"/>
    <w:link w:val="7"/>
    <w:qFormat/>
    <w:uiPriority w:val="0"/>
    <w:rPr>
      <w:rFonts w:asciiTheme="minorHAnsi" w:hAnsiTheme="minorHAnsi" w:eastAsiaTheme="minorEastAsia" w:cstheme="minorBidi"/>
      <w:kern w:val="2"/>
      <w:sz w:val="18"/>
      <w:szCs w:val="18"/>
    </w:rPr>
  </w:style>
  <w:style w:type="character" w:customStyle="1" w:styleId="13">
    <w:name w:val="批注框文本 Char"/>
    <w:basedOn w:val="11"/>
    <w:link w:val="5"/>
    <w:qFormat/>
    <w:uiPriority w:val="0"/>
    <w:rPr>
      <w:rFonts w:asciiTheme="minorHAnsi" w:hAnsiTheme="minorHAnsi" w:eastAsiaTheme="minorEastAsia" w:cstheme="minorBidi"/>
      <w:kern w:val="2"/>
      <w:sz w:val="18"/>
      <w:szCs w:val="18"/>
    </w:rPr>
  </w:style>
  <w:style w:type="character" w:customStyle="1" w:styleId="14">
    <w:name w:val="font41"/>
    <w:basedOn w:val="11"/>
    <w:qFormat/>
    <w:uiPriority w:val="0"/>
    <w:rPr>
      <w:rFonts w:hint="eastAsia" w:ascii="宋体" w:hAnsi="宋体" w:eastAsia="宋体" w:cs="宋体"/>
      <w:b/>
      <w:bCs/>
      <w:color w:val="000000"/>
      <w:sz w:val="18"/>
      <w:szCs w:val="18"/>
      <w:u w:val="none"/>
    </w:rPr>
  </w:style>
  <w:style w:type="character" w:customStyle="1" w:styleId="15">
    <w:name w:val="font131"/>
    <w:basedOn w:val="11"/>
    <w:qFormat/>
    <w:uiPriority w:val="0"/>
    <w:rPr>
      <w:rFonts w:hint="eastAsia" w:ascii="宋体" w:hAnsi="宋体" w:eastAsia="宋体" w:cs="宋体"/>
      <w:color w:val="000000"/>
      <w:sz w:val="18"/>
      <w:szCs w:val="18"/>
      <w:u w:val="none"/>
    </w:rPr>
  </w:style>
  <w:style w:type="character" w:customStyle="1" w:styleId="16">
    <w:name w:val="font161"/>
    <w:basedOn w:val="11"/>
    <w:qFormat/>
    <w:uiPriority w:val="0"/>
    <w:rPr>
      <w:rFonts w:ascii="微软雅黑" w:hAnsi="微软雅黑" w:eastAsia="微软雅黑" w:cs="微软雅黑"/>
      <w:color w:val="000000"/>
      <w:sz w:val="18"/>
      <w:szCs w:val="18"/>
      <w:u w:val="none"/>
    </w:rPr>
  </w:style>
  <w:style w:type="character" w:customStyle="1" w:styleId="17">
    <w:name w:val="font141"/>
    <w:basedOn w:val="11"/>
    <w:qFormat/>
    <w:uiPriority w:val="0"/>
    <w:rPr>
      <w:rFonts w:hint="eastAsia" w:ascii="宋体" w:hAnsi="宋体" w:eastAsia="宋体" w:cs="宋体"/>
      <w:b/>
      <w:bCs/>
      <w:color w:val="000000"/>
      <w:sz w:val="18"/>
      <w:szCs w:val="18"/>
      <w:u w:val="none"/>
    </w:rPr>
  </w:style>
  <w:style w:type="character" w:customStyle="1" w:styleId="18">
    <w:name w:val="font91"/>
    <w:basedOn w:val="11"/>
    <w:qFormat/>
    <w:uiPriority w:val="0"/>
    <w:rPr>
      <w:rFonts w:hint="eastAsia" w:ascii="宋体" w:hAnsi="宋体" w:eastAsia="宋体" w:cs="宋体"/>
      <w:color w:val="000000"/>
      <w:sz w:val="18"/>
      <w:szCs w:val="18"/>
      <w:u w:val="none"/>
    </w:rPr>
  </w:style>
  <w:style w:type="character" w:customStyle="1" w:styleId="19">
    <w:name w:val="font21"/>
    <w:basedOn w:val="11"/>
    <w:qFormat/>
    <w:uiPriority w:val="0"/>
    <w:rPr>
      <w:rFonts w:hint="eastAsia" w:ascii="楷体" w:hAnsi="楷体" w:eastAsia="楷体" w:cs="楷体"/>
      <w:b/>
      <w:bCs/>
      <w:color w:val="000000"/>
      <w:sz w:val="22"/>
      <w:szCs w:val="22"/>
      <w:u w:val="none"/>
    </w:rPr>
  </w:style>
  <w:style w:type="character" w:customStyle="1" w:styleId="20">
    <w:name w:val="font71"/>
    <w:basedOn w:val="11"/>
    <w:qFormat/>
    <w:uiPriority w:val="0"/>
    <w:rPr>
      <w:rFonts w:hint="eastAsia" w:ascii="楷体" w:hAnsi="楷体" w:eastAsia="楷体" w:cs="楷体"/>
      <w:b/>
      <w:bCs/>
      <w:color w:val="FF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3490</Words>
  <Characters>3626</Characters>
  <Lines>15</Lines>
  <Paragraphs>4</Paragraphs>
  <TotalTime>9</TotalTime>
  <ScaleCrop>false</ScaleCrop>
  <LinksUpToDate>false</LinksUpToDate>
  <CharactersWithSpaces>3685</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2021-02-10T01:12:00Z</dcterms:created>
  <dc:creator>衷琪</dc:creator>
  <cp:lastModifiedBy>Administrator</cp:lastModifiedBy>
  <cp:lastPrinted>2022-06-01T05:47:00Z</cp:lastPrinted>
  <dcterms:modified xsi:type="dcterms:W3CDTF">2023-10-26T08:16:31Z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ICV">
    <vt:lpwstr>7FC8B00675D64F3CBE5916402C8368F0</vt:lpwstr>
  </property>
</Properties>
</file>